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DFA" w:rsidP="00DE5C69" w14:paraId="090F638F" w14:textId="6F11D425">
      <w:pPr>
        <w:pStyle w:val="Title"/>
        <w:tabs>
          <w:tab w:val="left" w:pos="3417"/>
        </w:tabs>
        <w:spacing w:line="360" w:lineRule="auto"/>
      </w:pPr>
      <w:r>
        <w:t xml:space="preserve">PROJETO DE LEI Nº </w:t>
      </w:r>
      <w:r>
        <w:rPr>
          <w:u w:val="single"/>
        </w:rPr>
        <w:tab/>
      </w:r>
      <w:r>
        <w:rPr>
          <w:spacing w:val="-2"/>
        </w:rPr>
        <w:t>/202</w:t>
      </w:r>
      <w:r w:rsidR="00466B92">
        <w:rPr>
          <w:spacing w:val="-2"/>
        </w:rPr>
        <w:t>6</w:t>
      </w:r>
    </w:p>
    <w:p w:rsidR="003A1DFA" w:rsidP="00DE5C69" w14:paraId="2E6B2936" w14:textId="77777777">
      <w:pPr>
        <w:pStyle w:val="BodyText"/>
        <w:spacing w:before="252" w:line="360" w:lineRule="auto"/>
        <w:rPr>
          <w:b/>
          <w:sz w:val="30"/>
        </w:rPr>
      </w:pPr>
    </w:p>
    <w:p w:rsidR="003A1DFA" w:rsidRPr="004D074A" w:rsidP="00DE5C69" w14:paraId="6018C24D" w14:textId="6F92FD32">
      <w:pPr>
        <w:pStyle w:val="Heading2"/>
        <w:spacing w:line="360" w:lineRule="auto"/>
        <w:ind w:left="4397" w:right="134"/>
        <w:jc w:val="both"/>
        <w:rPr>
          <w:lang w:val="pt-BR"/>
        </w:rPr>
      </w:pPr>
      <w:bookmarkStart w:id="0" w:name="“Dispõe_sobre_a_inclusão_do_Programa_Edu"/>
      <w:bookmarkEnd w:id="0"/>
      <w:r>
        <w:t>“</w:t>
      </w:r>
      <w:r w:rsidRPr="003D0511" w:rsidR="003D0511">
        <w:t>Institui a campanha ‘Adote um Cão Idoso’ no Município de Itanhaém e dá outras providências.</w:t>
      </w:r>
      <w:r>
        <w:rPr>
          <w:spacing w:val="-2"/>
        </w:rPr>
        <w:t>”</w:t>
      </w:r>
    </w:p>
    <w:p w:rsidR="008A1C1E" w:rsidP="00DE5C69" w14:paraId="7FFDF010" w14:textId="77777777">
      <w:pPr>
        <w:pStyle w:val="BodyText"/>
        <w:spacing w:line="360" w:lineRule="auto"/>
        <w:ind w:left="3" w:right="131" w:firstLine="2267"/>
        <w:jc w:val="both"/>
        <w:rPr>
          <w:b/>
        </w:rPr>
      </w:pPr>
    </w:p>
    <w:p w:rsidR="00D3424E" w:rsidP="00DE5C69" w14:paraId="0568F0BE" w14:textId="744A83EB">
      <w:pPr>
        <w:pStyle w:val="BodyText"/>
        <w:spacing w:line="360" w:lineRule="auto"/>
        <w:ind w:left="3" w:right="131" w:firstLine="2267"/>
        <w:jc w:val="both"/>
      </w:pPr>
      <w:r>
        <w:rPr>
          <w:b/>
        </w:rPr>
        <w:t xml:space="preserve">Art. 1º </w:t>
      </w:r>
      <w:r>
        <w:t xml:space="preserve">- </w:t>
      </w:r>
      <w:r w:rsidRPr="00DE5C69" w:rsidR="00DE5C69">
        <w:t>Fica instituída, no Município de Itanhaém, a campanha ‘Adote um Cão Idoso’, destinada à conscientização da população acerca da importância dos cuidados especiais com animais domésticos idosos e ao incentivo à adoção responsável desses animais.</w:t>
      </w:r>
    </w:p>
    <w:p w:rsidR="00DE5C69" w:rsidRPr="0065712F" w:rsidP="00DE5C69" w14:paraId="7A885B6E" w14:textId="77777777">
      <w:pPr>
        <w:pStyle w:val="BodyText"/>
        <w:spacing w:line="360" w:lineRule="auto"/>
        <w:ind w:left="3" w:right="131" w:firstLine="2267"/>
        <w:jc w:val="both"/>
        <w:rPr>
          <w:lang w:val="pt-BR"/>
        </w:rPr>
      </w:pPr>
    </w:p>
    <w:p w:rsidR="00D3424E" w:rsidRPr="00D3424E" w:rsidP="00DE5C69" w14:paraId="461B67AA" w14:textId="716E853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65712F">
        <w:rPr>
          <w:b/>
          <w:bCs/>
          <w:lang w:val="pt-BR"/>
        </w:rPr>
        <w:t xml:space="preserve">Art. 2º - </w:t>
      </w:r>
      <w:r w:rsidRPr="00DE5C69" w:rsidR="00DE5C69">
        <w:t>O Poder Público poderá promover ações relacionadas à campanha instituída por esta Lei, diretamente ou mediante parcerias com entidades públicas ou privadas voltadas à proteção e bem-estar animal, visando:</w:t>
      </w:r>
    </w:p>
    <w:p w:rsidR="003D0511" w:rsidP="00DE5C69" w14:paraId="02AC86DB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</w:p>
    <w:p w:rsidR="00D3424E" w:rsidRPr="00D3424E" w:rsidP="00DE5C69" w14:paraId="4539248D" w14:textId="5A0165D5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D3424E">
        <w:rPr>
          <w:lang w:val="pt-BR"/>
        </w:rPr>
        <w:t xml:space="preserve">I - </w:t>
      </w:r>
      <w:r w:rsidRPr="00D3424E">
        <w:rPr>
          <w:lang w:val="pt-BR"/>
        </w:rPr>
        <w:t>organizar e promover</w:t>
      </w:r>
      <w:r w:rsidRPr="00D3424E">
        <w:rPr>
          <w:lang w:val="pt-BR"/>
        </w:rPr>
        <w:t xml:space="preserve"> eventos de adoção de animais de estimação com idade avançada;</w:t>
      </w:r>
    </w:p>
    <w:p w:rsidR="00D3424E" w:rsidRPr="00D3424E" w:rsidP="00DE5C69" w14:paraId="3C3C0E76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</w:p>
    <w:p w:rsidR="00D3424E" w:rsidRPr="00D3424E" w:rsidP="00DE5C69" w14:paraId="6703AB84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D3424E">
        <w:rPr>
          <w:lang w:val="pt-BR"/>
        </w:rPr>
        <w:t xml:space="preserve">II - </w:t>
      </w:r>
      <w:r w:rsidRPr="00D3424E">
        <w:rPr>
          <w:lang w:val="pt-BR"/>
        </w:rPr>
        <w:t>desenvolver e divulgar</w:t>
      </w:r>
      <w:r w:rsidRPr="00D3424E">
        <w:rPr>
          <w:lang w:val="pt-BR"/>
        </w:rPr>
        <w:t xml:space="preserve"> materiais educativos sobre cuidados com animais idosos;</w:t>
      </w:r>
    </w:p>
    <w:p w:rsidR="00D3424E" w:rsidRPr="00D3424E" w:rsidP="00DE5C69" w14:paraId="12D7E150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</w:p>
    <w:p w:rsidR="00D3424E" w:rsidRPr="00D3424E" w:rsidP="00DE5C69" w14:paraId="7EEB8549" w14:textId="06E61733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D3424E">
        <w:rPr>
          <w:lang w:val="pt-BR"/>
        </w:rPr>
        <w:t xml:space="preserve">III - </w:t>
      </w:r>
      <w:r w:rsidRPr="00DE5C69" w:rsidR="00DE5C69">
        <w:t>incentivar a participação da sociedade civil e de entidades de proteção animal nas ações relacionadas à campanha;</w:t>
      </w:r>
    </w:p>
    <w:p w:rsidR="00D3424E" w:rsidRPr="00D3424E" w:rsidP="00DE5C69" w14:paraId="2C654FCF" w14:textId="77777777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</w:p>
    <w:p w:rsidR="0065712F" w:rsidRPr="0065712F" w:rsidP="00DE5C69" w14:paraId="577C1DB8" w14:textId="7BD26AFA">
      <w:pPr>
        <w:pStyle w:val="BodyText"/>
        <w:spacing w:line="360" w:lineRule="auto"/>
        <w:ind w:left="3" w:right="132" w:firstLine="2268"/>
        <w:jc w:val="both"/>
        <w:rPr>
          <w:lang w:val="pt-BR"/>
        </w:rPr>
      </w:pPr>
      <w:r w:rsidRPr="00D3424E">
        <w:rPr>
          <w:lang w:val="pt-BR"/>
        </w:rPr>
        <w:t xml:space="preserve">IV - </w:t>
      </w:r>
      <w:r w:rsidRPr="00DE5C69" w:rsidR="00DE5C69">
        <w:t>divulgar</w:t>
      </w:r>
      <w:r w:rsidRPr="00DE5C69" w:rsidR="00DE5C69">
        <w:t xml:space="preserve"> ações, programas e iniciativas voltadas à adoção responsável de animais idosos</w:t>
      </w:r>
      <w:r w:rsidR="00DE5C69">
        <w:t>.</w:t>
      </w:r>
    </w:p>
    <w:p w:rsidR="00282096" w:rsidP="00DE5C69" w14:paraId="480DAB3F" w14:textId="77777777">
      <w:pPr>
        <w:pStyle w:val="BodyText"/>
        <w:spacing w:line="360" w:lineRule="auto"/>
        <w:ind w:left="3" w:right="130" w:firstLine="2267"/>
        <w:jc w:val="both"/>
        <w:rPr>
          <w:b/>
        </w:rPr>
      </w:pPr>
    </w:p>
    <w:p w:rsidR="00282096" w:rsidP="00DE5C69" w14:paraId="7F8B5E00" w14:textId="3AD89ACC">
      <w:pPr>
        <w:pStyle w:val="BodyText"/>
        <w:spacing w:line="360" w:lineRule="auto"/>
        <w:ind w:left="3" w:right="130" w:firstLine="2267"/>
        <w:jc w:val="both"/>
        <w:rPr>
          <w:b/>
          <w:bCs/>
          <w:lang w:val="pt-BR"/>
        </w:rPr>
      </w:pPr>
      <w:r>
        <w:rPr>
          <w:b/>
        </w:rPr>
        <w:t xml:space="preserve">Art. 3º </w:t>
      </w:r>
      <w:r>
        <w:t xml:space="preserve">- </w:t>
      </w:r>
      <w:r w:rsidRPr="00DE5C69" w:rsidR="00DE5C69">
        <w:t>As despesas eventualmente decorrentes da execução desta Lei correrão por conta de dotações orçamentárias próprias, suplementadas se necessário.</w:t>
      </w:r>
    </w:p>
    <w:p w:rsidR="004676E6" w:rsidRPr="004676E6" w:rsidP="00DE5C69" w14:paraId="5867BB77" w14:textId="218C8B6E">
      <w:pPr>
        <w:pStyle w:val="BodyText"/>
        <w:spacing w:line="360" w:lineRule="auto"/>
        <w:ind w:left="3" w:firstLine="2268"/>
        <w:rPr>
          <w:lang w:val="pt-BR"/>
        </w:rPr>
      </w:pPr>
      <w:r w:rsidRPr="004676E6">
        <w:rPr>
          <w:b/>
          <w:bCs/>
          <w:lang w:val="pt-BR"/>
        </w:rPr>
        <w:t xml:space="preserve">Art. </w:t>
      </w:r>
      <w:r w:rsidR="00D3424E">
        <w:rPr>
          <w:b/>
          <w:bCs/>
          <w:lang w:val="pt-BR"/>
        </w:rPr>
        <w:t>4</w:t>
      </w:r>
      <w:r w:rsidRPr="004676E6">
        <w:rPr>
          <w:b/>
          <w:bCs/>
        </w:rPr>
        <w:t>º</w:t>
      </w:r>
      <w:r w:rsidRPr="004676E6">
        <w:rPr>
          <w:lang w:val="pt-BR"/>
        </w:rPr>
        <w:t xml:space="preserve"> -</w:t>
      </w:r>
      <w:r>
        <w:rPr>
          <w:lang w:val="pt-BR"/>
        </w:rPr>
        <w:t xml:space="preserve"> </w:t>
      </w:r>
      <w:r w:rsidRPr="004676E6">
        <w:rPr>
          <w:lang w:val="pt-BR"/>
        </w:rPr>
        <w:t>Esta Lei entra em vigor na data de sua publicação.</w:t>
      </w:r>
    </w:p>
    <w:p w:rsidR="00B87313" w:rsidRPr="00654DA7" w:rsidP="00DE5C69" w14:paraId="11FD4D33" w14:textId="77777777">
      <w:pPr>
        <w:spacing w:line="360" w:lineRule="auto"/>
        <w:ind w:left="2271"/>
        <w:rPr>
          <w:b/>
          <w:sz w:val="26"/>
          <w:lang w:val="pt-BR"/>
        </w:rPr>
      </w:pPr>
    </w:p>
    <w:p w:rsidR="00B87313" w:rsidP="00DE5C69" w14:paraId="1F5F4940" w14:textId="5C269BE7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Sala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“D.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Idílio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Soares”,</w:t>
      </w:r>
      <w:r>
        <w:rPr>
          <w:b/>
          <w:spacing w:val="-10"/>
          <w:sz w:val="26"/>
        </w:rPr>
        <w:t xml:space="preserve"> </w:t>
      </w:r>
      <w:r w:rsidR="00822F6E">
        <w:rPr>
          <w:b/>
          <w:sz w:val="26"/>
        </w:rPr>
        <w:t>11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 w:rsidR="00822F6E">
        <w:rPr>
          <w:b/>
          <w:spacing w:val="-9"/>
          <w:sz w:val="26"/>
        </w:rPr>
        <w:t>maio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2026.</w:t>
      </w:r>
    </w:p>
    <w:p w:rsidR="00B87313" w:rsidP="00DE5C69" w14:paraId="2589D3C6" w14:textId="77777777">
      <w:pPr>
        <w:pStyle w:val="BodyText"/>
        <w:spacing w:line="360" w:lineRule="auto"/>
        <w:jc w:val="center"/>
        <w:rPr>
          <w:b/>
        </w:rPr>
      </w:pPr>
    </w:p>
    <w:p w:rsidR="00B87313" w:rsidP="00DE5C69" w14:paraId="338E1D42" w14:textId="77777777">
      <w:pPr>
        <w:pStyle w:val="BodyText"/>
        <w:spacing w:line="360" w:lineRule="auto"/>
        <w:jc w:val="center"/>
        <w:rPr>
          <w:b/>
        </w:rPr>
      </w:pPr>
    </w:p>
    <w:p w:rsidR="00B87313" w:rsidP="00DE5C69" w14:paraId="6E054E02" w14:textId="77777777">
      <w:pPr>
        <w:pStyle w:val="Heading1"/>
        <w:spacing w:line="360" w:lineRule="auto"/>
        <w:ind w:right="1862"/>
      </w:pPr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SOUSA WILLIAN THOR</w:t>
      </w:r>
    </w:p>
    <w:p w:rsidR="00B87313" w:rsidP="00DE5C69" w14:paraId="5C8E852E" w14:textId="77777777">
      <w:pPr>
        <w:pStyle w:val="BodyText"/>
        <w:spacing w:line="360" w:lineRule="auto"/>
        <w:ind w:right="135"/>
        <w:jc w:val="center"/>
      </w:pPr>
      <w:r>
        <w:rPr>
          <w:spacing w:val="-2"/>
        </w:rPr>
        <w:t>Vereador</w:t>
      </w:r>
    </w:p>
    <w:p w:rsidR="003A1DFA" w:rsidP="00262BDD" w14:paraId="4D43CF25" w14:textId="77777777">
      <w:pPr>
        <w:pStyle w:val="BodyText"/>
        <w:spacing w:line="360" w:lineRule="exact"/>
        <w:jc w:val="center"/>
        <w:sectPr w:rsidSect="00DE5C69">
          <w:headerReference w:type="default" r:id="rId4"/>
          <w:type w:val="continuous"/>
          <w:pgSz w:w="11910" w:h="16840"/>
          <w:pgMar w:top="2268" w:right="992" w:bottom="2268" w:left="1700" w:header="729" w:footer="0" w:gutter="0"/>
          <w:pgNumType w:start="1"/>
          <w:cols w:space="720"/>
        </w:sectPr>
      </w:pPr>
    </w:p>
    <w:p w:rsidR="000E1D88" w:rsidP="00262BDD" w14:paraId="686151DC" w14:textId="77777777">
      <w:pPr>
        <w:pStyle w:val="Heading1"/>
        <w:spacing w:before="188" w:line="360" w:lineRule="exact"/>
        <w:ind w:left="0"/>
        <w:rPr>
          <w:spacing w:val="-2"/>
        </w:rPr>
      </w:pPr>
      <w:bookmarkStart w:id="1" w:name="JUSTIFICATIVA"/>
      <w:bookmarkEnd w:id="1"/>
    </w:p>
    <w:p w:rsidR="003A1DFA" w:rsidP="00262BDD" w14:paraId="3D6EA398" w14:textId="65221A8C">
      <w:pPr>
        <w:pStyle w:val="Heading1"/>
        <w:spacing w:before="188" w:line="360" w:lineRule="exact"/>
        <w:ind w:left="0"/>
      </w:pPr>
      <w:r>
        <w:rPr>
          <w:spacing w:val="-2"/>
        </w:rPr>
        <w:t>JUSTIFICATIVA</w:t>
      </w:r>
    </w:p>
    <w:p w:rsidR="003A1DFA" w:rsidP="00262BDD" w14:paraId="4957BAE5" w14:textId="77777777">
      <w:pPr>
        <w:pStyle w:val="BodyText"/>
        <w:spacing w:line="360" w:lineRule="exact"/>
        <w:rPr>
          <w:b/>
        </w:rPr>
      </w:pPr>
    </w:p>
    <w:p w:rsidR="003A1DFA" w:rsidP="00262BDD" w14:paraId="45A9C3A0" w14:textId="77777777">
      <w:pPr>
        <w:pStyle w:val="Heading2"/>
        <w:spacing w:before="1" w:line="360" w:lineRule="exact"/>
      </w:pPr>
      <w:bookmarkStart w:id="2" w:name="Senhores_Vereadores:"/>
      <w:bookmarkEnd w:id="2"/>
      <w:r>
        <w:t>Senhores</w:t>
      </w:r>
      <w:r>
        <w:rPr>
          <w:spacing w:val="-16"/>
        </w:rPr>
        <w:t xml:space="preserve"> </w:t>
      </w:r>
      <w:r>
        <w:rPr>
          <w:spacing w:val="-2"/>
        </w:rPr>
        <w:t>Vereadores:</w:t>
      </w:r>
    </w:p>
    <w:p w:rsidR="00DE5C69" w:rsidP="00DE5C69" w14:paraId="052DD99B" w14:textId="4B28E0D1">
      <w:pPr>
        <w:pStyle w:val="BodyText"/>
        <w:spacing w:line="360" w:lineRule="exact"/>
        <w:ind w:right="132"/>
        <w:jc w:val="both"/>
        <w:rPr>
          <w:lang w:val="pt-BR"/>
        </w:rPr>
      </w:pPr>
    </w:p>
    <w:p w:rsidR="00DE5C69" w:rsidRPr="00DE5C69" w:rsidP="00DE5C69" w14:paraId="23E2C11E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O presente Projeto de Lei tem por objetivo instituir, no Município de Itanhaém, a campanha “Adote um Cão Idoso”, voltada à conscientização da população sobre a importância dos cuidados especiais destinados aos animais domésticos idosos, bem como ao incentivo à adoção responsável desses animais.</w:t>
      </w:r>
    </w:p>
    <w:p w:rsidR="00DE5C69" w:rsidRPr="00DE5C69" w:rsidP="00DE5C69" w14:paraId="4D176999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A proposta observa os princípios constitucionais e regimentais aplicáveis à matéria, especialmente no que se refere à proteção e ao bem-estar animal, tema de relevante interesse público e social.</w:t>
      </w:r>
    </w:p>
    <w:p w:rsidR="00DE5C69" w:rsidRPr="00DE5C69" w:rsidP="00DE5C69" w14:paraId="163AFA49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A iniciativa visa promover ações educativas, campanhas de conscientização e incentivo à adoção responsável de animais idosos, além de divulgar informações sobre os cuidados necessários à saúde, proteção e qualidade de vida desses animais.</w:t>
      </w:r>
    </w:p>
    <w:p w:rsidR="00DE5C69" w:rsidRPr="00DE5C69" w:rsidP="00DE5C69" w14:paraId="6FA084FA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É de conhecimento público que animais idosos, em razão da idade avançada, encontram maiores dificuldades para serem adotados, permanecendo, muitas vezes, por longos períodos em abrigos ou instituições de acolhimento. Nesse contexto, a campanha busca estimular a conscientização da sociedade quanto à importância da adoção desses animais, valorizando práticas de responsabilidade, respeito e proteção à vida animal.</w:t>
      </w:r>
    </w:p>
    <w:p w:rsidR="00DE5C69" w:rsidRPr="00DE5C69" w:rsidP="00DE5C69" w14:paraId="7C1A6F71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O principal objetivo da proposta é incentivar a adoção de animais idosos no Município de Itanhaém, contribuindo para garantir bem-estar, proteção e uma melhor qualidade de vida a esses animais, além de fortalecer as ações de conscientização sobre guarda responsável e proteção animal.</w:t>
      </w:r>
    </w:p>
    <w:p w:rsidR="00DE5C69" w:rsidRPr="00DE5C69" w:rsidP="00DE5C69" w14:paraId="1D322F60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A medida também representa importante instrumento de incentivo à participação da sociedade civil e de entidades de proteção animal em ações educativas e campanhas voltadas ao acolhimento e cuidado de animais idosos.</w:t>
      </w:r>
    </w:p>
    <w:p w:rsidR="00DE5C69" w:rsidRPr="00DE5C69" w:rsidP="00DE5C69" w14:paraId="295029F4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  <w:r w:rsidRPr="00DE5C69">
        <w:rPr>
          <w:lang w:val="pt-BR"/>
        </w:rPr>
        <w:t>Diante da relevância da matéria, submeto o presente Projeto de Lei à apreciação dos nobres vereadores, contando com o apoio dos pares para sua aprovação.</w:t>
      </w:r>
    </w:p>
    <w:p w:rsidR="00DE5C69" w:rsidP="00D3424E" w14:paraId="50A41821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</w:p>
    <w:p w:rsidR="00DE5C69" w:rsidP="00D3424E" w14:paraId="60D9AFC1" w14:textId="77777777">
      <w:pPr>
        <w:pStyle w:val="BodyText"/>
        <w:spacing w:line="360" w:lineRule="exact"/>
        <w:ind w:left="2" w:right="132" w:firstLine="1700"/>
        <w:jc w:val="both"/>
        <w:rPr>
          <w:lang w:val="pt-BR"/>
        </w:rPr>
      </w:pPr>
    </w:p>
    <w:p w:rsidR="00B87313" w:rsidP="00B87313" w14:paraId="1CD9526E" w14:textId="38F38688">
      <w:pPr>
        <w:spacing w:line="360" w:lineRule="exact"/>
        <w:jc w:val="center"/>
        <w:rPr>
          <w:b/>
          <w:sz w:val="26"/>
        </w:rPr>
      </w:pPr>
      <w:r>
        <w:rPr>
          <w:b/>
          <w:sz w:val="26"/>
        </w:rPr>
        <w:t>Sala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“D.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Idílio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Soares”,</w:t>
      </w:r>
      <w:r>
        <w:rPr>
          <w:b/>
          <w:spacing w:val="-10"/>
          <w:sz w:val="26"/>
        </w:rPr>
        <w:t xml:space="preserve"> </w:t>
      </w:r>
      <w:r w:rsidR="00822F6E">
        <w:rPr>
          <w:b/>
          <w:sz w:val="26"/>
        </w:rPr>
        <w:t>11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 w:rsidR="00822F6E">
        <w:rPr>
          <w:b/>
          <w:spacing w:val="-9"/>
          <w:sz w:val="26"/>
        </w:rPr>
        <w:t>maio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2026.</w:t>
      </w:r>
    </w:p>
    <w:p w:rsidR="00B87313" w:rsidP="00B87313" w14:paraId="13160A3F" w14:textId="77777777">
      <w:pPr>
        <w:pStyle w:val="BodyText"/>
        <w:spacing w:line="360" w:lineRule="exact"/>
        <w:jc w:val="center"/>
        <w:rPr>
          <w:b/>
        </w:rPr>
      </w:pPr>
    </w:p>
    <w:p w:rsidR="00B87313" w:rsidP="00B87313" w14:paraId="4F93CC6E" w14:textId="77777777">
      <w:pPr>
        <w:pStyle w:val="Heading1"/>
        <w:spacing w:line="360" w:lineRule="exact"/>
        <w:ind w:right="1862"/>
      </w:pPr>
      <w:r>
        <w:t>WILLIAN</w:t>
      </w:r>
      <w:r>
        <w:rPr>
          <w:spacing w:val="-17"/>
        </w:rPr>
        <w:t xml:space="preserve"> </w:t>
      </w:r>
      <w:r>
        <w:t>TADEU</w:t>
      </w:r>
      <w:r>
        <w:rPr>
          <w:spacing w:val="-16"/>
        </w:rPr>
        <w:t xml:space="preserve"> </w:t>
      </w:r>
      <w:r>
        <w:t>RAMOS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SOUSA WILLIAN THOR</w:t>
      </w:r>
    </w:p>
    <w:p w:rsidR="00B87313" w:rsidP="00B87313" w14:paraId="741684FB" w14:textId="77777777">
      <w:pPr>
        <w:pStyle w:val="BodyText"/>
        <w:spacing w:line="360" w:lineRule="exact"/>
        <w:ind w:right="135"/>
        <w:jc w:val="center"/>
      </w:pPr>
      <w:r>
        <w:rPr>
          <w:spacing w:val="-2"/>
        </w:rPr>
        <w:t>Vereador</w:t>
      </w:r>
    </w:p>
    <w:p w:rsidR="003A1DFA" w:rsidP="00B87313" w14:paraId="6045249E" w14:textId="629829A0">
      <w:pPr>
        <w:pStyle w:val="BodyText"/>
        <w:spacing w:line="360" w:lineRule="exact"/>
        <w:ind w:left="2" w:right="132" w:firstLine="1700"/>
        <w:jc w:val="both"/>
      </w:pPr>
    </w:p>
    <w:sectPr>
      <w:pgSz w:w="11910" w:h="16840"/>
      <w:pgMar w:top="2000" w:right="992" w:bottom="280" w:left="1700" w:header="72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1DFA" w14:paraId="643E9858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462914</wp:posOffset>
          </wp:positionV>
          <wp:extent cx="782293" cy="750557"/>
          <wp:effectExtent l="0" t="0" r="0" b="0"/>
          <wp:wrapNone/>
          <wp:docPr id="76466967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293" cy="750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1370330</wp:posOffset>
              </wp:positionH>
              <wp:positionV relativeFrom="page">
                <wp:posOffset>649737</wp:posOffset>
              </wp:positionV>
              <wp:extent cx="5338445" cy="429259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3844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1DFA" w14:textId="77777777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da</w:t>
                          </w:r>
                          <w:r>
                            <w:rPr>
                              <w:rFonts w:ascii="Georgia" w:hAnsi="Georgia"/>
                              <w:i/>
                              <w:spacing w:val="66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Estância</w:t>
                          </w:r>
                          <w:r>
                            <w:rPr>
                              <w:rFonts w:ascii="Georgia" w:hAnsi="Georgia"/>
                              <w:i/>
                              <w:spacing w:val="67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Balneária</w:t>
                          </w:r>
                          <w:r>
                            <w:rPr>
                              <w:rFonts w:ascii="Georgia" w:hAnsi="Georgia"/>
                              <w:i/>
                              <w:spacing w:val="69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spacing w:val="68"/>
                              <w:w w:val="1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  <w:sz w:val="28"/>
                            </w:rPr>
                            <w:t>Itanhaém</w:t>
                          </w:r>
                        </w:p>
                        <w:p w:rsidR="003A1DFA" w14:textId="77777777">
                          <w:pPr>
                            <w:spacing w:before="77"/>
                            <w:ind w:right="27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12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6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20.35pt;height:33.8pt;margin-top:51.15pt;margin-left:107.9pt;mso-position-horizontal-relative:page;mso-position-vertical-relative:page;mso-wrap-distance-bottom:0;mso-wrap-distance-left:0;mso-wrap-distance-right:0;mso-wrap-distance-top:0;mso-wrap-style:square;position:absolute;v-text-anchor:top;visibility:visible;z-index:-251656192" filled="f" stroked="f">
              <v:textbox inset="0,0,0,0">
                <w:txbxContent>
                  <w:p w:rsidR="003A1DFA" w14:paraId="73B25693" w14:textId="77777777">
                    <w:pPr>
                      <w:spacing w:before="19"/>
                      <w:ind w:left="20"/>
                      <w:rPr>
                        <w:rFonts w:ascii="Georgia" w:hAnsi="Georgia"/>
                        <w:i/>
                        <w:sz w:val="28"/>
                      </w:rPr>
                    </w:pP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Câmara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Municipal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da</w:t>
                    </w:r>
                    <w:r>
                      <w:rPr>
                        <w:rFonts w:ascii="Georgia" w:hAnsi="Georgia"/>
                        <w:i/>
                        <w:spacing w:val="66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Estância</w:t>
                    </w:r>
                    <w:r>
                      <w:rPr>
                        <w:rFonts w:ascii="Georgia" w:hAnsi="Georgia"/>
                        <w:i/>
                        <w:spacing w:val="67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Balneária</w:t>
                    </w:r>
                    <w:r>
                      <w:rPr>
                        <w:rFonts w:ascii="Georgia" w:hAnsi="Georgia"/>
                        <w:i/>
                        <w:spacing w:val="6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5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i/>
                        <w:spacing w:val="6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2"/>
                        <w:w w:val="115"/>
                        <w:sz w:val="28"/>
                      </w:rPr>
                      <w:t>Itanhaém</w:t>
                    </w:r>
                  </w:p>
                  <w:p w:rsidR="003A1DFA" w14:paraId="1BB041F0" w14:textId="77777777">
                    <w:pPr>
                      <w:spacing w:before="77"/>
                      <w:ind w:right="278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pacing w:val="12"/>
                        <w:sz w:val="2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6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6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188D"/>
    <w:rsid w:val="00027C53"/>
    <w:rsid w:val="0003594B"/>
    <w:rsid w:val="000512A9"/>
    <w:rsid w:val="00070A78"/>
    <w:rsid w:val="000A135D"/>
    <w:rsid w:val="000B3DFB"/>
    <w:rsid w:val="000D7B72"/>
    <w:rsid w:val="000E1D88"/>
    <w:rsid w:val="000F2654"/>
    <w:rsid w:val="00106F74"/>
    <w:rsid w:val="00130A8F"/>
    <w:rsid w:val="00187D70"/>
    <w:rsid w:val="00202152"/>
    <w:rsid w:val="00262BDD"/>
    <w:rsid w:val="00282096"/>
    <w:rsid w:val="002B181A"/>
    <w:rsid w:val="002E3F85"/>
    <w:rsid w:val="003A1DFA"/>
    <w:rsid w:val="003D0511"/>
    <w:rsid w:val="00466B92"/>
    <w:rsid w:val="004676E6"/>
    <w:rsid w:val="004D074A"/>
    <w:rsid w:val="00502E25"/>
    <w:rsid w:val="00543D53"/>
    <w:rsid w:val="00654DA7"/>
    <w:rsid w:val="0065712F"/>
    <w:rsid w:val="00683F6A"/>
    <w:rsid w:val="006856B3"/>
    <w:rsid w:val="00712D4B"/>
    <w:rsid w:val="00774C5B"/>
    <w:rsid w:val="007B3146"/>
    <w:rsid w:val="007B52C6"/>
    <w:rsid w:val="00822F6E"/>
    <w:rsid w:val="0083188C"/>
    <w:rsid w:val="008A1C1E"/>
    <w:rsid w:val="008E5BED"/>
    <w:rsid w:val="009571AB"/>
    <w:rsid w:val="0099472E"/>
    <w:rsid w:val="009C1DBA"/>
    <w:rsid w:val="009C41EC"/>
    <w:rsid w:val="009F1127"/>
    <w:rsid w:val="00A92C69"/>
    <w:rsid w:val="00AD0CB3"/>
    <w:rsid w:val="00B22964"/>
    <w:rsid w:val="00B46514"/>
    <w:rsid w:val="00B87313"/>
    <w:rsid w:val="00BC4FF4"/>
    <w:rsid w:val="00BD01D4"/>
    <w:rsid w:val="00BE7F7E"/>
    <w:rsid w:val="00C07916"/>
    <w:rsid w:val="00C46AF7"/>
    <w:rsid w:val="00C84F97"/>
    <w:rsid w:val="00CB2481"/>
    <w:rsid w:val="00CD7E84"/>
    <w:rsid w:val="00CF2842"/>
    <w:rsid w:val="00CF3BB0"/>
    <w:rsid w:val="00D3424E"/>
    <w:rsid w:val="00DE5C69"/>
    <w:rsid w:val="00E03EE8"/>
    <w:rsid w:val="00E0526F"/>
    <w:rsid w:val="00E3211C"/>
    <w:rsid w:val="00E36C47"/>
    <w:rsid w:val="00E40101"/>
    <w:rsid w:val="00E460C1"/>
    <w:rsid w:val="00F02F99"/>
    <w:rsid w:val="00F14939"/>
    <w:rsid w:val="00F62D32"/>
    <w:rsid w:val="00F70FE6"/>
    <w:rsid w:val="00FA58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A7CB06-CD21-447E-BAE3-0B5CE99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link w:val="Ttulo1Char"/>
    <w:uiPriority w:val="9"/>
    <w:qFormat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65712F"/>
    <w:rPr>
      <w:rFonts w:ascii="Times New Roman" w:eastAsia="Times New Roman" w:hAnsi="Times New Roman" w:cs="Times New Roman"/>
      <w:sz w:val="26"/>
      <w:szCs w:val="26"/>
      <w:lang w:val="pt-PT"/>
    </w:rPr>
  </w:style>
  <w:style w:type="character" w:customStyle="1" w:styleId="Ttulo1Char">
    <w:name w:val="Título 1 Char"/>
    <w:basedOn w:val="DefaultParagraphFont"/>
    <w:link w:val="Heading1"/>
    <w:uiPriority w:val="9"/>
    <w:rsid w:val="00B87313"/>
    <w:rPr>
      <w:rFonts w:ascii="Times New Roman" w:eastAsia="Times New Roman" w:hAnsi="Times New Roman" w:cs="Times New Roman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Ronaldo Martins</cp:lastModifiedBy>
  <cp:revision>6</cp:revision>
  <cp:lastPrinted>2025-10-30T15:31:00Z</cp:lastPrinted>
  <dcterms:created xsi:type="dcterms:W3CDTF">2026-05-08T13:43:00Z</dcterms:created>
  <dcterms:modified xsi:type="dcterms:W3CDTF">2026-05-11T20:22:00Z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