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6DCC23DE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C87D24" w:rsidR="00C87D24">
        <w:rPr>
          <w:rFonts w:ascii="Arial" w:hAnsi="Arial" w:cs="Arial"/>
          <w:b/>
          <w:bCs/>
          <w:sz w:val="24"/>
          <w:szCs w:val="24"/>
        </w:rPr>
        <w:t>que seja oficiado ao setor competente, solicitando informações acerca do repasse financeiro destinado às entidades do município, esclarecendo os motivos pelos quais tais recursos não estão sendo devidamente repassados.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725C58" w:rsidRPr="00725C58" w:rsidP="006547E8" w14:paraId="676915C0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917650" w14:paraId="40F5E4E5" w14:textId="6AE3CB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C87D24" w:rsidR="00C87D24">
        <w:rPr>
          <w:rFonts w:ascii="Arial" w:hAnsi="Arial" w:cs="Arial"/>
          <w:sz w:val="24"/>
          <w:szCs w:val="24"/>
        </w:rPr>
        <w:t>que seja oficiado ao setor competente, solicitando informações acerca do repasse financeiro destinado às entidades do município, esclarecendo os motivos pelos quais tais recursos não estão sendo devidamente repassados.</w:t>
      </w:r>
    </w:p>
    <w:p w:rsidR="008F3BE9" w:rsidP="00917650" w14:paraId="716468B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650" w:rsidRPr="00FB40CF" w:rsidP="00917650" w14:paraId="4D4A072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87D24" w:rsidRPr="00C87D24" w:rsidP="00C87D24" w14:paraId="2819861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87D24">
        <w:rPr>
          <w:rFonts w:ascii="Arial" w:hAnsi="Arial" w:cs="Arial"/>
          <w:bCs/>
          <w:sz w:val="24"/>
          <w:szCs w:val="24"/>
        </w:rPr>
        <w:t>Diversas entidades do município têm relatado dificuldades financeiras em razão da ausência ou atraso no recebimento de repasses públicos, fundamentais para a manutenção de suas atividades e atendimento à população.</w:t>
      </w:r>
    </w:p>
    <w:p w:rsidR="00C87D24" w:rsidRPr="00C87D24" w:rsidP="00C87D24" w14:paraId="763AF24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87D24">
        <w:rPr>
          <w:rFonts w:ascii="Arial" w:hAnsi="Arial" w:cs="Arial"/>
          <w:bCs/>
          <w:sz w:val="24"/>
          <w:szCs w:val="24"/>
        </w:rPr>
        <w:t>Essas instituições desempenham papel essencial nas áreas social, educacional e assistencial, atendendo munícipes em situação de vulnerabilidade, de modo que a falta desses recursos compromete diretamente a continuidade dos serviços prestados.</w:t>
      </w:r>
    </w:p>
    <w:p w:rsidR="00C87D24" w:rsidRPr="00C87D24" w:rsidP="00C87D24" w14:paraId="4E6D95A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87D24">
        <w:rPr>
          <w:rFonts w:ascii="Arial" w:hAnsi="Arial" w:cs="Arial"/>
          <w:bCs/>
          <w:sz w:val="24"/>
          <w:szCs w:val="24"/>
        </w:rPr>
        <w:t>Dessa forma, faz-se necessário o devido esclarecimento por parte do Poder Executivo quanto à regularidade dos repasses, bem como as providências que estão sendo adotadas para a normalização da situação.</w:t>
      </w: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C87D24" w:rsidP="006547E8" w14:paraId="3A334FD7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486813" w:rsidP="006547E8" w14:paraId="04B4949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486813" w:rsidP="006547E8" w14:paraId="2D1E62B6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AE0F1D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10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247FD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3805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3214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03711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84092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8936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357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86813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25C58"/>
    <w:rsid w:val="00743C7D"/>
    <w:rsid w:val="007571C3"/>
    <w:rsid w:val="00757EC2"/>
    <w:rsid w:val="007636A7"/>
    <w:rsid w:val="007838DE"/>
    <w:rsid w:val="0079411F"/>
    <w:rsid w:val="007B2688"/>
    <w:rsid w:val="007C47F2"/>
    <w:rsid w:val="007C4C85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3BE9"/>
    <w:rsid w:val="008F4F7C"/>
    <w:rsid w:val="00917650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7FD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87D24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3AC8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2026-02-06T17:30:00Z</cp:lastPrinted>
  <dcterms:created xsi:type="dcterms:W3CDTF">2026-04-10T18:11:00Z</dcterms:created>
  <dcterms:modified xsi:type="dcterms:W3CDTF">2026-04-10T18:11:00Z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