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942BD" w:rsidRPr="00055253" w:rsidP="00B942BD" w14:paraId="20E84865" w14:textId="77777777">
      <w:pPr>
        <w:pBdr>
          <w:top w:val="single" w:sz="4" w:space="1" w:color="auto"/>
          <w:left w:val="single" w:sz="4" w:space="4" w:color="auto"/>
          <w:bottom w:val="single" w:sz="4" w:space="1" w:color="auto"/>
          <w:right w:val="single" w:sz="4" w:space="4" w:color="auto"/>
        </w:pBdr>
        <w:shd w:val="clear" w:color="auto" w:fill="C0C0C0"/>
        <w:jc w:val="center"/>
        <w:rPr>
          <w:b/>
          <w:color w:val="000000"/>
          <w:sz w:val="48"/>
          <w:szCs w:val="48"/>
        </w:rPr>
      </w:pPr>
      <w:r w:rsidRPr="00055253">
        <w:rPr>
          <w:b/>
          <w:sz w:val="48"/>
          <w:szCs w:val="48"/>
        </w:rPr>
        <w:fldChar w:fldCharType="begin"/>
      </w:r>
      <w:r w:rsidRPr="00055253">
        <w:rPr>
          <w:b/>
          <w:sz w:val="48"/>
          <w:szCs w:val="48"/>
        </w:rPr>
        <w:instrText xml:space="preserve"> MERGEFIELD  DESCTIPOPROP  \* MERGEFORMAT </w:instrText>
      </w:r>
      <w:r w:rsidRPr="00055253">
        <w:rPr>
          <w:b/>
          <w:sz w:val="48"/>
          <w:szCs w:val="48"/>
        </w:rPr>
        <w:fldChar w:fldCharType="separate"/>
      </w:r>
      <w:r>
        <w:rPr>
          <w:b/>
          <w:noProof/>
          <w:sz w:val="48"/>
          <w:szCs w:val="48"/>
        </w:rPr>
        <w:t>Indicação</w:t>
      </w:r>
      <w:r w:rsidRPr="00055253">
        <w:rPr>
          <w:b/>
          <w:sz w:val="48"/>
          <w:szCs w:val="48"/>
        </w:rPr>
        <w:fldChar w:fldCharType="end"/>
      </w:r>
      <w:r w:rsidRPr="00055253">
        <w:rPr>
          <w:b/>
          <w:sz w:val="48"/>
          <w:szCs w:val="48"/>
        </w:rPr>
        <w:fldChar w:fldCharType="begin"/>
      </w:r>
      <w:r w:rsidRPr="00055253">
        <w:rPr>
          <w:b/>
          <w:sz w:val="48"/>
          <w:szCs w:val="48"/>
        </w:rPr>
        <w:instrText xml:space="preserve"> MERGEFIELD  DESCPROP  \* MERGEFORMAT </w:instrText>
      </w:r>
      <w:r w:rsidRPr="00055253">
        <w:rPr>
          <w:b/>
          <w:sz w:val="48"/>
          <w:szCs w:val="48"/>
        </w:rPr>
        <w:fldChar w:fldCharType="separate"/>
      </w:r>
      <w:r w:rsidRPr="00055253">
        <w:rPr>
          <w:b/>
          <w:sz w:val="48"/>
          <w:szCs w:val="48"/>
        </w:rPr>
        <w:fldChar w:fldCharType="end"/>
      </w:r>
      <w:r w:rsidRPr="00055253">
        <w:rPr>
          <w:b/>
          <w:sz w:val="48"/>
          <w:szCs w:val="48"/>
        </w:rPr>
        <w:t xml:space="preserve"> </w:t>
      </w:r>
      <w:r>
        <w:rPr>
          <w:b/>
          <w:color w:val="000000"/>
          <w:sz w:val="48"/>
          <w:szCs w:val="48"/>
        </w:rPr>
        <w:t xml:space="preserve">nº, </w:t>
      </w:r>
      <w:r w:rsidRPr="00055253">
        <w:rPr>
          <w:b/>
          <w:color w:val="000000"/>
          <w:sz w:val="48"/>
          <w:szCs w:val="48"/>
        </w:rPr>
        <w:t xml:space="preserve">de </w:t>
      </w:r>
      <w:r>
        <w:rPr>
          <w:b/>
          <w:sz w:val="48"/>
          <w:szCs w:val="48"/>
        </w:rPr>
        <w:t>2026.</w:t>
      </w:r>
    </w:p>
    <w:p w:rsidR="00B942BD" w:rsidP="00B942BD" w14:paraId="0A2E1E77" w14:textId="77777777">
      <w:pPr>
        <w:rPr>
          <w:rFonts w:cs="Arial"/>
          <w:sz w:val="20"/>
        </w:rPr>
      </w:pPr>
    </w:p>
    <w:p w:rsidR="00B942BD" w:rsidRPr="00055253" w:rsidP="00B942BD" w14:paraId="2653718E" w14:textId="77777777">
      <w:pPr>
        <w:rPr>
          <w:rFonts w:cs="Arial"/>
          <w:sz w:val="20"/>
        </w:rPr>
      </w:pPr>
      <w:r>
        <w:rPr>
          <w:rFonts w:cs="Arial"/>
          <w:noProof/>
          <w:lang w:eastAsia="pt-BR"/>
        </w:rPr>
        <mc:AlternateContent>
          <mc:Choice Requires="wps">
            <w:drawing>
              <wp:anchor distT="0" distB="0" distL="114300" distR="114300" simplePos="0" relativeHeight="251658240" behindDoc="0" locked="0" layoutInCell="1" allowOverlap="1">
                <wp:simplePos x="0" y="0"/>
                <wp:positionH relativeFrom="column">
                  <wp:posOffset>2406015</wp:posOffset>
                </wp:positionH>
                <wp:positionV relativeFrom="paragraph">
                  <wp:posOffset>15876</wp:posOffset>
                </wp:positionV>
                <wp:extent cx="3399644" cy="1466850"/>
                <wp:effectExtent l="0" t="0" r="10795" b="19050"/>
                <wp:wrapNone/>
                <wp:docPr id="1" name="Retângulo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99644" cy="1466850"/>
                        </a:xfrm>
                        <a:prstGeom prst="rect">
                          <a:avLst/>
                        </a:prstGeom>
                        <a:solidFill>
                          <a:srgbClr val="C0C0C0"/>
                        </a:solidFill>
                        <a:ln w="19050">
                          <a:solidFill>
                            <a:srgbClr val="000000"/>
                          </a:solidFill>
                          <a:miter lim="800000"/>
                          <a:headEnd/>
                          <a:tailEnd/>
                        </a:ln>
                      </wps:spPr>
                      <wps:txbx>
                        <w:txbxContent>
                          <w:p w:rsidR="00B942BD" w:rsidP="00B942BD" w14:textId="295C2FDE">
                            <w:pPr>
                              <w:pBdr>
                                <w:bottom w:val="single" w:sz="4" w:space="1" w:color="auto"/>
                              </w:pBdr>
                              <w:jc w:val="both"/>
                              <w:rPr>
                                <w:b/>
                                <w:sz w:val="28"/>
                                <w:szCs w:val="28"/>
                              </w:rPr>
                            </w:pPr>
                            <w:r w:rsidRPr="00BC250B">
                              <w:t xml:space="preserve"> </w:t>
                            </w:r>
                            <w:r w:rsidRPr="00BC250B">
                              <w:rPr>
                                <w:b/>
                                <w:sz w:val="28"/>
                                <w:szCs w:val="28"/>
                              </w:rPr>
                              <w:t>“Indic</w:t>
                            </w:r>
                            <w:r>
                              <w:rPr>
                                <w:b/>
                                <w:sz w:val="28"/>
                                <w:szCs w:val="28"/>
                              </w:rPr>
                              <w:t>o</w:t>
                            </w:r>
                            <w:r w:rsidRPr="00BC250B">
                              <w:rPr>
                                <w:b/>
                                <w:sz w:val="28"/>
                                <w:szCs w:val="28"/>
                              </w:rPr>
                              <w:t xml:space="preserve"> ao Executivo</w:t>
                            </w:r>
                            <w:r w:rsidRPr="003E7A66">
                              <w:rPr>
                                <w:b/>
                                <w:sz w:val="28"/>
                                <w:szCs w:val="28"/>
                              </w:rPr>
                              <w:t>,</w:t>
                            </w:r>
                            <w:r>
                              <w:rPr>
                                <w:b/>
                                <w:sz w:val="28"/>
                                <w:szCs w:val="28"/>
                              </w:rPr>
                              <w:t xml:space="preserve"> a</w:t>
                            </w:r>
                            <w:r>
                              <w:rPr>
                                <w:b/>
                                <w:sz w:val="28"/>
                                <w:szCs w:val="28"/>
                              </w:rPr>
                              <w:t xml:space="preserve"> </w:t>
                            </w:r>
                            <w:r w:rsidRPr="00B942BD">
                              <w:rPr>
                                <w:b/>
                                <w:sz w:val="28"/>
                                <w:szCs w:val="28"/>
                              </w:rPr>
                              <w:t xml:space="preserve">criação do </w:t>
                            </w:r>
                            <w:r>
                              <w:rPr>
                                <w:b/>
                                <w:sz w:val="28"/>
                                <w:szCs w:val="28"/>
                              </w:rPr>
                              <w:t>“</w:t>
                            </w:r>
                            <w:r w:rsidRPr="00B942BD">
                              <w:rPr>
                                <w:b/>
                                <w:sz w:val="28"/>
                                <w:szCs w:val="28"/>
                              </w:rPr>
                              <w:t>Programa Mulher sem Violência</w:t>
                            </w:r>
                            <w:r>
                              <w:rPr>
                                <w:b/>
                                <w:sz w:val="28"/>
                                <w:szCs w:val="28"/>
                              </w:rPr>
                              <w:t>”</w:t>
                            </w:r>
                            <w:r w:rsidRPr="00B942BD">
                              <w:rPr>
                                <w:b/>
                                <w:sz w:val="28"/>
                                <w:szCs w:val="28"/>
                              </w:rPr>
                              <w:t>, com o objetivo de promover ações de prevenção, conscientização e apoio às mulheres em situação de violência</w:t>
                            </w:r>
                            <w:r>
                              <w:rPr>
                                <w:b/>
                                <w:sz w:val="28"/>
                                <w:szCs w:val="28"/>
                              </w:rPr>
                              <w:t>,</w:t>
                            </w:r>
                            <w:r w:rsidRPr="00B942BD">
                              <w:rPr>
                                <w:b/>
                                <w:sz w:val="28"/>
                                <w:szCs w:val="28"/>
                              </w:rPr>
                              <w:t xml:space="preserve"> </w:t>
                            </w:r>
                            <w:r>
                              <w:rPr>
                                <w:b/>
                                <w:sz w:val="28"/>
                                <w:szCs w:val="28"/>
                              </w:rPr>
                              <w:t>no Município de Itanhaém</w:t>
                            </w:r>
                            <w:r>
                              <w:rPr>
                                <w:b/>
                                <w:sz w:val="28"/>
                                <w:szCs w:val="28"/>
                              </w:rPr>
                              <w:t xml:space="preserve">, conforme </w:t>
                            </w:r>
                            <w:r w:rsidR="00674632">
                              <w:rPr>
                                <w:b/>
                                <w:sz w:val="28"/>
                                <w:szCs w:val="28"/>
                              </w:rPr>
                              <w:t>especifica”</w:t>
                            </w:r>
                          </w:p>
                          <w:p w:rsidR="00B942BD" w:rsidP="00B942BD" w14:textId="77777777">
                            <w:pPr>
                              <w:pBdr>
                                <w:bottom w:val="single" w:sz="4" w:space="1" w:color="auto"/>
                              </w:pBdr>
                              <w:jc w:val="both"/>
                              <w:rPr>
                                <w:b/>
                                <w:sz w:val="28"/>
                                <w:szCs w:val="28"/>
                              </w:rPr>
                            </w:pPr>
                          </w:p>
                          <w:p w:rsidR="00B942BD" w:rsidP="00B942BD" w14:textId="77777777">
                            <w:pPr>
                              <w:pBdr>
                                <w:bottom w:val="single" w:sz="4" w:space="1" w:color="auto"/>
                              </w:pBdr>
                              <w:jc w:val="both"/>
                              <w:rPr>
                                <w:b/>
                                <w:sz w:val="28"/>
                                <w:szCs w:val="28"/>
                              </w:rPr>
                            </w:pPr>
                          </w:p>
                          <w:p w:rsidR="00B942BD" w:rsidP="00B942BD" w14:textId="77777777">
                            <w:pPr>
                              <w:pBdr>
                                <w:bottom w:val="single" w:sz="4" w:space="1" w:color="auto"/>
                              </w:pBdr>
                              <w:jc w:val="both"/>
                              <w:rPr>
                                <w:b/>
                                <w:sz w:val="28"/>
                                <w:szCs w:val="28"/>
                              </w:rPr>
                            </w:pPr>
                            <w:r>
                              <w:rPr>
                                <w:b/>
                                <w:sz w:val="28"/>
                                <w:szCs w:val="28"/>
                              </w:rPr>
                              <w:t>”.</w:t>
                            </w:r>
                          </w:p>
                          <w:p w:rsidR="00B942BD" w:rsidP="00B942BD" w14:textId="77777777">
                            <w:pPr>
                              <w:pBdr>
                                <w:bottom w:val="single" w:sz="4" w:space="1" w:color="auto"/>
                              </w:pBdr>
                              <w:jc w:val="both"/>
                              <w:rPr>
                                <w:b/>
                                <w:sz w:val="28"/>
                                <w:szCs w:val="28"/>
                              </w:rPr>
                            </w:pPr>
                          </w:p>
                          <w:p w:rsidR="00B942BD" w:rsidP="00B942BD" w14:textId="77777777">
                            <w:pPr>
                              <w:pBdr>
                                <w:bottom w:val="single" w:sz="4" w:space="1" w:color="auto"/>
                              </w:pBdr>
                              <w:jc w:val="both"/>
                              <w:rPr>
                                <w:b/>
                                <w:sz w:val="28"/>
                                <w:szCs w:val="28"/>
                              </w:rPr>
                            </w:pPr>
                          </w:p>
                          <w:p w:rsidR="00B942BD" w:rsidRPr="003B17FC" w:rsidP="00B942BD" w14:textId="77777777">
                            <w:pPr>
                              <w:pBdr>
                                <w:bottom w:val="single" w:sz="4" w:space="1" w:color="auto"/>
                              </w:pBdr>
                              <w:jc w:val="both"/>
                              <w:rPr>
                                <w:b/>
                                <w:sz w:val="28"/>
                                <w:szCs w:val="2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tângulo 1" o:spid="_x0000_s1025" style="width:267.7pt;height:115.5pt;margin-top:1.25pt;margin-left:189.45pt;mso-height-percent:0;mso-height-relative:page;mso-width-percent:0;mso-width-relative:page;mso-wrap-distance-bottom:0;mso-wrap-distance-left:9pt;mso-wrap-distance-right:9pt;mso-wrap-distance-top:0;mso-wrap-style:square;position:absolute;v-text-anchor:top;visibility:visible;z-index:251659264" fillcolor="silver" strokeweight="1.5pt">
                <v:textbox>
                  <w:txbxContent>
                    <w:p w:rsidR="00B942BD" w:rsidP="00B942BD" w14:paraId="27D2C78C" w14:textId="295C2FDE">
                      <w:pPr>
                        <w:pBdr>
                          <w:bottom w:val="single" w:sz="4" w:space="1" w:color="auto"/>
                        </w:pBdr>
                        <w:jc w:val="both"/>
                        <w:rPr>
                          <w:b/>
                          <w:sz w:val="28"/>
                          <w:szCs w:val="28"/>
                        </w:rPr>
                      </w:pPr>
                      <w:r w:rsidRPr="00BC250B">
                        <w:t xml:space="preserve"> </w:t>
                      </w:r>
                      <w:r w:rsidRPr="00BC250B">
                        <w:rPr>
                          <w:b/>
                          <w:sz w:val="28"/>
                          <w:szCs w:val="28"/>
                        </w:rPr>
                        <w:t>“Indic</w:t>
                      </w:r>
                      <w:r>
                        <w:rPr>
                          <w:b/>
                          <w:sz w:val="28"/>
                          <w:szCs w:val="28"/>
                        </w:rPr>
                        <w:t>o</w:t>
                      </w:r>
                      <w:r w:rsidRPr="00BC250B">
                        <w:rPr>
                          <w:b/>
                          <w:sz w:val="28"/>
                          <w:szCs w:val="28"/>
                        </w:rPr>
                        <w:t xml:space="preserve"> ao Executivo</w:t>
                      </w:r>
                      <w:r w:rsidRPr="003E7A66">
                        <w:rPr>
                          <w:b/>
                          <w:sz w:val="28"/>
                          <w:szCs w:val="28"/>
                        </w:rPr>
                        <w:t>,</w:t>
                      </w:r>
                      <w:r>
                        <w:rPr>
                          <w:b/>
                          <w:sz w:val="28"/>
                          <w:szCs w:val="28"/>
                        </w:rPr>
                        <w:t xml:space="preserve"> a</w:t>
                      </w:r>
                      <w:r>
                        <w:rPr>
                          <w:b/>
                          <w:sz w:val="28"/>
                          <w:szCs w:val="28"/>
                        </w:rPr>
                        <w:t xml:space="preserve"> </w:t>
                      </w:r>
                      <w:r w:rsidRPr="00B942BD">
                        <w:rPr>
                          <w:b/>
                          <w:sz w:val="28"/>
                          <w:szCs w:val="28"/>
                        </w:rPr>
                        <w:t xml:space="preserve">criação do </w:t>
                      </w:r>
                      <w:r>
                        <w:rPr>
                          <w:b/>
                          <w:sz w:val="28"/>
                          <w:szCs w:val="28"/>
                        </w:rPr>
                        <w:t>“</w:t>
                      </w:r>
                      <w:r w:rsidRPr="00B942BD">
                        <w:rPr>
                          <w:b/>
                          <w:sz w:val="28"/>
                          <w:szCs w:val="28"/>
                        </w:rPr>
                        <w:t>Programa Mulher sem Violência</w:t>
                      </w:r>
                      <w:r>
                        <w:rPr>
                          <w:b/>
                          <w:sz w:val="28"/>
                          <w:szCs w:val="28"/>
                        </w:rPr>
                        <w:t>”</w:t>
                      </w:r>
                      <w:r w:rsidRPr="00B942BD">
                        <w:rPr>
                          <w:b/>
                          <w:sz w:val="28"/>
                          <w:szCs w:val="28"/>
                        </w:rPr>
                        <w:t>, com o objetivo de promover ações de prevenção, conscientização e apoio às mulheres em situação de violência</w:t>
                      </w:r>
                      <w:r>
                        <w:rPr>
                          <w:b/>
                          <w:sz w:val="28"/>
                          <w:szCs w:val="28"/>
                        </w:rPr>
                        <w:t>,</w:t>
                      </w:r>
                      <w:r w:rsidRPr="00B942BD">
                        <w:rPr>
                          <w:b/>
                          <w:sz w:val="28"/>
                          <w:szCs w:val="28"/>
                        </w:rPr>
                        <w:t xml:space="preserve"> </w:t>
                      </w:r>
                      <w:r>
                        <w:rPr>
                          <w:b/>
                          <w:sz w:val="28"/>
                          <w:szCs w:val="28"/>
                        </w:rPr>
                        <w:t>no Município de Itanhaém</w:t>
                      </w:r>
                      <w:r>
                        <w:rPr>
                          <w:b/>
                          <w:sz w:val="28"/>
                          <w:szCs w:val="28"/>
                        </w:rPr>
                        <w:t xml:space="preserve">, conforme </w:t>
                      </w:r>
                      <w:r w:rsidR="00674632">
                        <w:rPr>
                          <w:b/>
                          <w:sz w:val="28"/>
                          <w:szCs w:val="28"/>
                        </w:rPr>
                        <w:t>especifica”</w:t>
                      </w:r>
                    </w:p>
                    <w:p w:rsidR="00B942BD" w:rsidP="00B942BD" w14:paraId="5C3E16A1" w14:textId="77777777">
                      <w:pPr>
                        <w:pBdr>
                          <w:bottom w:val="single" w:sz="4" w:space="1" w:color="auto"/>
                        </w:pBdr>
                        <w:jc w:val="both"/>
                        <w:rPr>
                          <w:b/>
                          <w:sz w:val="28"/>
                          <w:szCs w:val="28"/>
                        </w:rPr>
                      </w:pPr>
                    </w:p>
                    <w:p w:rsidR="00B942BD" w:rsidP="00B942BD" w14:paraId="54F71759" w14:textId="77777777">
                      <w:pPr>
                        <w:pBdr>
                          <w:bottom w:val="single" w:sz="4" w:space="1" w:color="auto"/>
                        </w:pBdr>
                        <w:jc w:val="both"/>
                        <w:rPr>
                          <w:b/>
                          <w:sz w:val="28"/>
                          <w:szCs w:val="28"/>
                        </w:rPr>
                      </w:pPr>
                    </w:p>
                    <w:p w:rsidR="00B942BD" w:rsidP="00B942BD" w14:paraId="26478AA6" w14:textId="77777777">
                      <w:pPr>
                        <w:pBdr>
                          <w:bottom w:val="single" w:sz="4" w:space="1" w:color="auto"/>
                        </w:pBdr>
                        <w:jc w:val="both"/>
                        <w:rPr>
                          <w:b/>
                          <w:sz w:val="28"/>
                          <w:szCs w:val="28"/>
                        </w:rPr>
                      </w:pPr>
                      <w:r>
                        <w:rPr>
                          <w:b/>
                          <w:sz w:val="28"/>
                          <w:szCs w:val="28"/>
                        </w:rPr>
                        <w:t>”.</w:t>
                      </w:r>
                    </w:p>
                    <w:p w:rsidR="00B942BD" w:rsidP="00B942BD" w14:paraId="219EC990" w14:textId="77777777">
                      <w:pPr>
                        <w:pBdr>
                          <w:bottom w:val="single" w:sz="4" w:space="1" w:color="auto"/>
                        </w:pBdr>
                        <w:jc w:val="both"/>
                        <w:rPr>
                          <w:b/>
                          <w:sz w:val="28"/>
                          <w:szCs w:val="28"/>
                        </w:rPr>
                      </w:pPr>
                    </w:p>
                    <w:p w:rsidR="00B942BD" w:rsidP="00B942BD" w14:paraId="63A7692F" w14:textId="77777777">
                      <w:pPr>
                        <w:pBdr>
                          <w:bottom w:val="single" w:sz="4" w:space="1" w:color="auto"/>
                        </w:pBdr>
                        <w:jc w:val="both"/>
                        <w:rPr>
                          <w:b/>
                          <w:sz w:val="28"/>
                          <w:szCs w:val="28"/>
                        </w:rPr>
                      </w:pPr>
                    </w:p>
                    <w:p w:rsidR="00B942BD" w:rsidRPr="003B17FC" w:rsidP="00B942BD" w14:paraId="287B220B" w14:textId="77777777">
                      <w:pPr>
                        <w:pBdr>
                          <w:bottom w:val="single" w:sz="4" w:space="1" w:color="auto"/>
                        </w:pBdr>
                        <w:jc w:val="both"/>
                        <w:rPr>
                          <w:b/>
                          <w:sz w:val="28"/>
                          <w:szCs w:val="28"/>
                        </w:rPr>
                      </w:pPr>
                    </w:p>
                  </w:txbxContent>
                </v:textbox>
              </v:rect>
            </w:pict>
          </mc:Fallback>
        </mc:AlternateContent>
      </w:r>
    </w:p>
    <w:p w:rsidR="00B942BD" w:rsidP="00B942BD" w14:paraId="6A382282" w14:textId="77777777">
      <w:pPr>
        <w:rPr>
          <w:rFonts w:cs="Arial"/>
          <w:sz w:val="20"/>
        </w:rPr>
      </w:pPr>
    </w:p>
    <w:p w:rsidR="00B942BD" w:rsidP="00B942BD" w14:paraId="0690D1D6" w14:textId="77777777">
      <w:pPr>
        <w:rPr>
          <w:rFonts w:cs="Arial"/>
          <w:sz w:val="20"/>
        </w:rPr>
      </w:pPr>
    </w:p>
    <w:p w:rsidR="00B942BD" w:rsidRPr="00055253" w:rsidP="00B942BD" w14:paraId="7CCEB4D6" w14:textId="77777777">
      <w:pPr>
        <w:rPr>
          <w:rFonts w:cs="Arial"/>
          <w:sz w:val="20"/>
        </w:rPr>
      </w:pPr>
    </w:p>
    <w:p w:rsidR="00B942BD" w:rsidP="00B942BD" w14:paraId="20FC7B7E" w14:textId="77777777">
      <w:pPr>
        <w:rPr>
          <w:rFonts w:cs="Arial"/>
          <w:b/>
        </w:rPr>
      </w:pPr>
    </w:p>
    <w:p w:rsidR="00B942BD" w:rsidP="00B942BD" w14:paraId="111A4D18" w14:textId="77777777">
      <w:pPr>
        <w:rPr>
          <w:rFonts w:cs="Arial"/>
          <w:b/>
        </w:rPr>
      </w:pPr>
    </w:p>
    <w:p w:rsidR="00B942BD" w:rsidP="00B942BD" w14:paraId="390C4DAA" w14:textId="77777777">
      <w:pPr>
        <w:rPr>
          <w:rFonts w:cs="Arial"/>
          <w:b/>
        </w:rPr>
      </w:pPr>
    </w:p>
    <w:p w:rsidR="00B942BD" w:rsidP="00B942BD" w14:paraId="280C3239" w14:textId="77777777">
      <w:pPr>
        <w:rPr>
          <w:rFonts w:cs="Arial"/>
          <w:b/>
        </w:rPr>
      </w:pPr>
    </w:p>
    <w:p w:rsidR="00B942BD" w:rsidP="00B942BD" w14:paraId="76EF88C6" w14:textId="77777777">
      <w:pPr>
        <w:rPr>
          <w:rFonts w:cs="Arial"/>
          <w:b/>
        </w:rPr>
      </w:pPr>
    </w:p>
    <w:p w:rsidR="00B942BD" w:rsidP="00B942BD" w14:paraId="59C5A7D8" w14:textId="77777777">
      <w:pPr>
        <w:rPr>
          <w:rFonts w:cs="Arial"/>
          <w:b/>
        </w:rPr>
      </w:pPr>
    </w:p>
    <w:p w:rsidR="00B942BD" w:rsidP="00B942BD" w14:paraId="5FAB2497" w14:textId="303AC5DE">
      <w:pPr>
        <w:rPr>
          <w:rFonts w:cs="Arial"/>
        </w:rPr>
      </w:pPr>
      <w:r w:rsidRPr="00584ABD">
        <w:rPr>
          <w:rFonts w:cs="Arial"/>
          <w:b/>
        </w:rPr>
        <w:t>Senhor Presidente</w:t>
      </w:r>
      <w:r w:rsidRPr="00055253">
        <w:rPr>
          <w:rFonts w:cs="Arial"/>
        </w:rPr>
        <w:t>:</w:t>
      </w:r>
    </w:p>
    <w:p w:rsidR="00B942BD" w:rsidP="00B942BD" w14:paraId="43A7A579" w14:textId="77777777">
      <w:pPr>
        <w:rPr>
          <w:rFonts w:cs="Arial"/>
        </w:rPr>
      </w:pPr>
    </w:p>
    <w:p w:rsidR="00B942BD" w:rsidRPr="00674632" w:rsidP="00B942BD" w14:paraId="0D28BF66" w14:textId="54006EB2">
      <w:pPr>
        <w:jc w:val="both"/>
        <w:rPr>
          <w:rFonts w:cs="Arial"/>
          <w:bCs/>
        </w:rPr>
      </w:pPr>
      <w:r>
        <w:rPr>
          <w:rFonts w:cs="Arial"/>
        </w:rPr>
        <w:t xml:space="preserve">                                      </w:t>
      </w:r>
      <w:r w:rsidRPr="00B64E8A">
        <w:rPr>
          <w:rFonts w:cs="Arial"/>
        </w:rPr>
        <w:t>Indico</w:t>
      </w:r>
      <w:r>
        <w:t xml:space="preserve"> através</w:t>
      </w:r>
      <w:r w:rsidRPr="00BC250B">
        <w:rPr>
          <w:rFonts w:cs="Arial"/>
        </w:rPr>
        <w:t xml:space="preserve"> da Mesa, ao Senhor Prefeito Tiago Rodrigues Cervantes,</w:t>
      </w:r>
      <w:r>
        <w:rPr>
          <w:rFonts w:cs="Arial"/>
        </w:rPr>
        <w:t xml:space="preserve"> </w:t>
      </w:r>
      <w:r w:rsidRPr="00674632" w:rsidR="00674632">
        <w:rPr>
          <w:bCs/>
        </w:rPr>
        <w:t>a criação do “Programa Mulher sem Violência”, com o objetivo de promover ações de prevenção, conscientização e apoio às mulheres em situação de violência, no Município de Itanhaém, conforme especifica</w:t>
      </w:r>
    </w:p>
    <w:p w:rsidR="00B942BD" w:rsidRPr="00674632" w:rsidP="00B942BD" w14:paraId="2F15A2CB" w14:textId="77777777">
      <w:pPr>
        <w:tabs>
          <w:tab w:val="left" w:pos="2268"/>
        </w:tabs>
        <w:ind w:firstLine="2268"/>
        <w:jc w:val="both"/>
        <w:rPr>
          <w:rFonts w:cs="Arial"/>
          <w:bCs/>
        </w:rPr>
      </w:pPr>
    </w:p>
    <w:p w:rsidR="00B942BD" w:rsidP="00B942BD" w14:paraId="6F4352B7" w14:textId="33259188">
      <w:pPr>
        <w:tabs>
          <w:tab w:val="left" w:pos="2268"/>
        </w:tabs>
        <w:ind w:firstLine="2268"/>
        <w:jc w:val="both"/>
        <w:rPr>
          <w:rFonts w:cs="Arial"/>
          <w:b/>
          <w:bCs/>
        </w:rPr>
      </w:pPr>
      <w:r w:rsidRPr="002B0E67">
        <w:rPr>
          <w:rFonts w:cs="Arial"/>
          <w:b/>
          <w:bCs/>
        </w:rPr>
        <w:t>Justificativa:</w:t>
      </w:r>
    </w:p>
    <w:p w:rsidR="00674632" w:rsidP="00B942BD" w14:paraId="7E412334" w14:textId="77777777">
      <w:pPr>
        <w:tabs>
          <w:tab w:val="left" w:pos="2268"/>
        </w:tabs>
        <w:ind w:firstLine="2268"/>
        <w:jc w:val="both"/>
        <w:rPr>
          <w:rFonts w:cs="Arial"/>
          <w:b/>
          <w:bCs/>
        </w:rPr>
      </w:pPr>
    </w:p>
    <w:p w:rsidR="00674632" w:rsidRPr="00674632" w:rsidP="00674632" w14:paraId="299DE6D9" w14:textId="126F6BFA">
      <w:pPr>
        <w:tabs>
          <w:tab w:val="left" w:pos="2268"/>
        </w:tabs>
        <w:ind w:firstLine="2268"/>
        <w:jc w:val="both"/>
        <w:rPr>
          <w:rFonts w:cs="Arial"/>
        </w:rPr>
      </w:pPr>
      <w:r w:rsidRPr="00674632">
        <w:rPr>
          <w:rFonts w:cs="Arial"/>
        </w:rPr>
        <w:t>O Programa Mulher sem Violência surge como uma proposta de ação integrada e abrangente, com o intuito de oferecer suporte, acolhimento e orientação às mulheres em situação de violência no município.</w:t>
      </w:r>
    </w:p>
    <w:p w:rsidR="00674632" w:rsidRPr="00674632" w:rsidP="00674632" w14:paraId="29ADE7F4" w14:textId="77777777">
      <w:pPr>
        <w:tabs>
          <w:tab w:val="left" w:pos="2268"/>
        </w:tabs>
        <w:ind w:firstLine="2268"/>
        <w:jc w:val="both"/>
        <w:rPr>
          <w:rFonts w:cs="Arial"/>
        </w:rPr>
      </w:pPr>
      <w:r w:rsidRPr="00674632">
        <w:rPr>
          <w:rFonts w:cs="Arial"/>
        </w:rPr>
        <w:t>Este programa é essencial para a implementação de uma rede de proteção efetiva, composta por serviços de atendimento psicológico, jurídico, de saúde e segurança pública, a fim de garantir que as vítimas recebam o cuidado necessário e possam romper o ciclo de violência. Além disso, visa promover a conscientização da sociedade sobre a gravidade do problema e a importância de construir uma cultura de respeito e igualdade de gênero.</w:t>
      </w:r>
    </w:p>
    <w:p w:rsidR="00674632" w:rsidRPr="00674632" w:rsidP="00674632" w14:paraId="0FA83C4F" w14:textId="77777777">
      <w:pPr>
        <w:tabs>
          <w:tab w:val="left" w:pos="2268"/>
        </w:tabs>
        <w:ind w:firstLine="2268"/>
        <w:jc w:val="both"/>
        <w:rPr>
          <w:rFonts w:cs="Arial"/>
        </w:rPr>
      </w:pPr>
      <w:r w:rsidRPr="00674632">
        <w:rPr>
          <w:rFonts w:cs="Arial"/>
        </w:rPr>
        <w:t>A criação do programa também se faz necessária no sentido de ampliar as políticas públicas já existentes, garantindo que todas as mulheres, independente de sua condição socioeconômica, tenham acesso aos seus direitos e à proteção que necessitam. Com a implementação de ações educativas, campanhas de sensibilização e a capacitação de profissionais da rede de atendimento, o programa contribuirá para a diminuição dos índices de violência e para a criação de um ambiente mais seguro e justo para as mulheres.</w:t>
      </w:r>
    </w:p>
    <w:p w:rsidR="00674632" w:rsidRPr="00674632" w:rsidP="00674632" w14:paraId="441E4CCF" w14:textId="77777777">
      <w:pPr>
        <w:tabs>
          <w:tab w:val="left" w:pos="2268"/>
        </w:tabs>
        <w:ind w:firstLine="2268"/>
        <w:jc w:val="both"/>
        <w:rPr>
          <w:rFonts w:cs="Arial"/>
        </w:rPr>
      </w:pPr>
      <w:r w:rsidRPr="00674632">
        <w:rPr>
          <w:rFonts w:cs="Arial"/>
        </w:rPr>
        <w:t>Por isso, é de extrema importância que o município adote o Programa Mulher sem Violência, garantindo a todas as mulheres as condições necessárias para viver com dignidade e sem o medo da violência.</w:t>
      </w:r>
    </w:p>
    <w:p w:rsidR="00B942BD" w:rsidP="00B942BD" w14:paraId="7650E51C" w14:textId="77777777">
      <w:pPr>
        <w:tabs>
          <w:tab w:val="left" w:pos="2268"/>
        </w:tabs>
        <w:jc w:val="both"/>
        <w:rPr>
          <w:rFonts w:cs="Arial"/>
          <w:b/>
        </w:rPr>
      </w:pPr>
      <w:r>
        <w:t xml:space="preserve">                                  Diante do exposto, solicitamos a sensibilidade para a análise e possível implementação desta proposta, que certamente trará benefícios concretos a população.</w:t>
      </w:r>
    </w:p>
    <w:p w:rsidR="00B942BD" w:rsidP="00B942BD" w14:paraId="1872597D" w14:textId="77777777">
      <w:pPr>
        <w:rPr>
          <w:rFonts w:cs="Arial"/>
          <w:b/>
        </w:rPr>
      </w:pPr>
    </w:p>
    <w:p w:rsidR="00B942BD" w:rsidP="00B942BD" w14:paraId="75DFBCB1" w14:textId="77777777">
      <w:pPr>
        <w:rPr>
          <w:rFonts w:cs="Arial"/>
          <w:b/>
        </w:rPr>
      </w:pPr>
    </w:p>
    <w:p w:rsidR="00B942BD" w:rsidP="00B942BD" w14:paraId="2356B98E" w14:textId="7A798E8C">
      <w:pPr>
        <w:jc w:val="center"/>
        <w:rPr>
          <w:rFonts w:cs="Arial"/>
          <w:b/>
        </w:rPr>
      </w:pPr>
      <w:bookmarkStart w:id="0" w:name="_Hlk68859447"/>
      <w:r w:rsidRPr="00CB5622">
        <w:rPr>
          <w:rFonts w:cs="Arial"/>
          <w:b/>
        </w:rPr>
        <w:t>Sala “D. Idílio José Soare</w:t>
      </w:r>
      <w:r w:rsidRPr="005866E8">
        <w:rPr>
          <w:rFonts w:cs="Arial"/>
          <w:b/>
        </w:rPr>
        <w:t>s”, em</w:t>
      </w:r>
      <w:r>
        <w:rPr>
          <w:rFonts w:cs="Arial"/>
          <w:b/>
        </w:rPr>
        <w:t xml:space="preserve"> </w:t>
      </w:r>
      <w:r>
        <w:rPr>
          <w:rFonts w:cs="Arial"/>
          <w:b/>
        </w:rPr>
        <w:t xml:space="preserve">13 </w:t>
      </w:r>
      <w:r>
        <w:rPr>
          <w:rFonts w:cs="Arial"/>
          <w:b/>
        </w:rPr>
        <w:t>de abril de 2026.</w:t>
      </w:r>
    </w:p>
    <w:p w:rsidR="00B942BD" w:rsidP="00B942BD" w14:paraId="5016134F" w14:textId="77777777">
      <w:pPr>
        <w:jc w:val="center"/>
        <w:rPr>
          <w:rFonts w:cs="Arial"/>
          <w:b/>
        </w:rPr>
      </w:pPr>
    </w:p>
    <w:p w:rsidR="00B942BD" w:rsidP="00B942BD" w14:paraId="78E88B8B" w14:textId="77777777">
      <w:pPr>
        <w:jc w:val="center"/>
        <w:rPr>
          <w:rFonts w:cs="Arial"/>
          <w:b/>
        </w:rPr>
      </w:pPr>
      <w:r>
        <w:rPr>
          <w:rFonts w:cs="Arial"/>
          <w:b/>
        </w:rPr>
        <w:t>ARLINDO MARTINS</w:t>
      </w:r>
    </w:p>
    <w:p w:rsidR="00B942BD" w:rsidRPr="007B4493" w:rsidP="00B942BD" w14:paraId="0C3E3954" w14:textId="77777777">
      <w:pPr>
        <w:jc w:val="center"/>
        <w:rPr>
          <w:rFonts w:cs="Arial"/>
          <w:b/>
        </w:rPr>
      </w:pPr>
      <w:r>
        <w:rPr>
          <w:rFonts w:cs="Arial"/>
          <w:b/>
        </w:rPr>
        <w:t>Veread</w:t>
      </w:r>
      <w:bookmarkEnd w:id="0"/>
      <w:r>
        <w:rPr>
          <w:rFonts w:cs="Arial"/>
          <w:b/>
        </w:rPr>
        <w:t>or</w:t>
      </w:r>
    </w:p>
    <w:sectPr w:rsidSect="00B942BD">
      <w:pgSz w:w="11906" w:h="16838" w:code="9"/>
      <w:pgMar w:top="226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BD"/>
    <w:rsid w:val="00055253"/>
    <w:rsid w:val="002748C7"/>
    <w:rsid w:val="002B0E67"/>
    <w:rsid w:val="003B17FC"/>
    <w:rsid w:val="003E7A66"/>
    <w:rsid w:val="00584ABD"/>
    <w:rsid w:val="005866E8"/>
    <w:rsid w:val="00674632"/>
    <w:rsid w:val="007B4493"/>
    <w:rsid w:val="00B46106"/>
    <w:rsid w:val="00B64E8A"/>
    <w:rsid w:val="00B942BD"/>
    <w:rsid w:val="00BC250B"/>
    <w:rsid w:val="00BE0BE3"/>
    <w:rsid w:val="00CB562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372C0B5-54B2-4DBB-961F-F9D8B47D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2BD"/>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Ttulo1Char"/>
    <w:uiPriority w:val="9"/>
    <w:qFormat/>
    <w:rsid w:val="00B9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B9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B94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B94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B94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B94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B94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B94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B94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B942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B942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B942B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B942B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B942B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B942B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B942B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B942B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B942BD"/>
    <w:rPr>
      <w:rFonts w:eastAsiaTheme="majorEastAsia" w:cstheme="majorBidi"/>
      <w:color w:val="272727" w:themeColor="text1" w:themeTint="D8"/>
    </w:rPr>
  </w:style>
  <w:style w:type="paragraph" w:styleId="Title">
    <w:name w:val="Title"/>
    <w:basedOn w:val="Normal"/>
    <w:next w:val="Normal"/>
    <w:link w:val="TtuloChar"/>
    <w:uiPriority w:val="10"/>
    <w:qFormat/>
    <w:rsid w:val="00B942B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B94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B942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B942B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B942B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B942BD"/>
    <w:rPr>
      <w:i/>
      <w:iCs/>
      <w:color w:val="404040" w:themeColor="text1" w:themeTint="BF"/>
    </w:rPr>
  </w:style>
  <w:style w:type="paragraph" w:styleId="ListParagraph">
    <w:name w:val="List Paragraph"/>
    <w:basedOn w:val="Normal"/>
    <w:uiPriority w:val="34"/>
    <w:qFormat/>
    <w:rsid w:val="00B942BD"/>
    <w:pPr>
      <w:ind w:left="720"/>
      <w:contextualSpacing/>
    </w:pPr>
  </w:style>
  <w:style w:type="character" w:styleId="IntenseEmphasis">
    <w:name w:val="Intense Emphasis"/>
    <w:basedOn w:val="DefaultParagraphFont"/>
    <w:uiPriority w:val="21"/>
    <w:qFormat/>
    <w:rsid w:val="00B942BD"/>
    <w:rPr>
      <w:i/>
      <w:iCs/>
      <w:color w:val="0F4761" w:themeColor="accent1" w:themeShade="BF"/>
    </w:rPr>
  </w:style>
  <w:style w:type="paragraph" w:styleId="IntenseQuote">
    <w:name w:val="Intense Quote"/>
    <w:basedOn w:val="Normal"/>
    <w:next w:val="Normal"/>
    <w:link w:val="CitaoIntensaChar"/>
    <w:uiPriority w:val="30"/>
    <w:qFormat/>
    <w:rsid w:val="00B9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B942BD"/>
    <w:rPr>
      <w:i/>
      <w:iCs/>
      <w:color w:val="0F4761" w:themeColor="accent1" w:themeShade="BF"/>
    </w:rPr>
  </w:style>
  <w:style w:type="character" w:styleId="IntenseReference">
    <w:name w:val="Intense Reference"/>
    <w:basedOn w:val="DefaultParagraphFont"/>
    <w:uiPriority w:val="32"/>
    <w:qFormat/>
    <w:rsid w:val="00B94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303</Words>
  <Characters>1775</Characters>
  <Application>Microsoft Office Word</Application>
  <DocSecurity>0</DocSecurity>
  <Lines>61</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04</dc:creator>
  <cp:lastModifiedBy>Gabinete 04</cp:lastModifiedBy>
  <cp:revision>1</cp:revision>
  <dcterms:created xsi:type="dcterms:W3CDTF">2026-03-11T14:52:00Z</dcterms:created>
  <dcterms:modified xsi:type="dcterms:W3CDTF">2026-03-11T15:07:00Z</dcterms:modified>
</cp:coreProperties>
</file>